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pPr>
      <w:bookmarkStart w:id="7" w:name="_GoBack"/>
      <w:bookmarkEnd w:id="7"/>
      <w:bookmarkStart w:id="0" w:name="OLE_LINK24"/>
      <w:bookmarkStart w:id="1" w:name="OLE_LINK12"/>
      <w:bookmarkStart w:id="2" w:name="OLE_LINK33"/>
      <w:bookmarkStart w:id="3" w:name="OLE_LINK13"/>
      <w:bookmarkStart w:id="4" w:name="OLE_LINK34"/>
      <w:r>
        <w:rPr>
          <w:rFonts w:hint="eastAsia" w:ascii="Arial" w:hAnsi="Arial" w:cs="Arial"/>
          <w:b/>
        </w:rPr>
        <w:t>3GPP TSG RAN WG1 #104-e</w:t>
      </w:r>
      <w:r>
        <w:rPr>
          <w:rFonts w:ascii="Arial" w:hAnsi="Arial" w:cs="Arial"/>
          <w:b/>
        </w:rPr>
        <w:t xml:space="preserve">  </w:t>
      </w:r>
      <w:r>
        <w:rPr>
          <w:rFonts w:hint="eastAsia" w:ascii="Arial" w:hAnsi="Arial" w:cs="Arial"/>
          <w:b/>
        </w:rPr>
        <w:t xml:space="preserve">                                             R1-2100294</w:t>
      </w:r>
    </w:p>
    <w:p>
      <w:pPr>
        <w:tabs>
          <w:tab w:val="center" w:pos="4536"/>
          <w:tab w:val="right" w:pos="8280"/>
          <w:tab w:val="right" w:pos="9639"/>
        </w:tabs>
        <w:snapToGrid w:val="0"/>
        <w:spacing w:after="0" w:line="240" w:lineRule="auto"/>
        <w:ind w:left="442" w:right="2" w:hanging="442" w:hangingChars="200"/>
        <w:rPr>
          <w:rFonts w:ascii="Arial" w:hAnsi="Arial" w:cs="Arial"/>
          <w:b/>
        </w:rPr>
      </w:pPr>
      <w:r>
        <w:rPr>
          <w:rFonts w:hint="eastAsia" w:ascii="Arial" w:hAnsi="Arial" w:cs="Arial"/>
          <w:b/>
        </w:rPr>
        <w:t>e-Meeting, January 25</w:t>
      </w:r>
      <w:r>
        <w:rPr>
          <w:rFonts w:hint="eastAsia" w:ascii="Arial" w:hAnsi="Arial" w:cs="Arial"/>
          <w:b/>
          <w:vertAlign w:val="superscript"/>
        </w:rPr>
        <w:t>th</w:t>
      </w:r>
      <w:r>
        <w:rPr>
          <w:rFonts w:ascii="Times New Roman" w:hAnsi="Times New Roman"/>
          <w:b/>
        </w:rPr>
        <w:t xml:space="preserve"> – </w:t>
      </w:r>
      <w:r>
        <w:rPr>
          <w:rFonts w:hint="eastAsia" w:ascii="Arial" w:hAnsi="Arial" w:cs="Arial"/>
          <w:b/>
        </w:rPr>
        <w:t>February 5</w:t>
      </w:r>
      <w:r>
        <w:rPr>
          <w:rFonts w:hint="eastAsia" w:ascii="Arial" w:hAnsi="Arial" w:cs="Arial"/>
          <w:b/>
          <w:vertAlign w:val="superscript"/>
        </w:rPr>
        <w:t>th</w:t>
      </w:r>
      <w:r>
        <w:rPr>
          <w:rFonts w:hint="eastAsia"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rPr>
          <w:rFonts w:ascii="Arial" w:hAnsi="Arial" w:eastAsia="宋体" w:cs="Arial"/>
          <w:b/>
        </w:rPr>
      </w:pPr>
      <w:r>
        <w:rPr>
          <w:rFonts w:ascii="Arial" w:hAnsi="Arial" w:eastAsia="宋体" w:cs="Arial"/>
          <w:b/>
        </w:rPr>
        <w:t xml:space="preserve">Title:            </w:t>
      </w:r>
      <w:r>
        <w:rPr>
          <w:rFonts w:hint="eastAsia" w:ascii="Arial" w:hAnsi="Arial" w:eastAsia="宋体" w:cs="Arial"/>
          <w:b/>
        </w:rPr>
        <w:t>Accuracy improvement for UL-AoA positioning solutions</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cs="Arial"/>
          <w:b/>
        </w:rPr>
      </w:pPr>
      <w:r>
        <w:rPr>
          <w:rFonts w:ascii="Arial" w:hAnsi="Arial" w:eastAsia="宋体" w:cs="Arial"/>
          <w:b/>
        </w:rPr>
        <w:t xml:space="preserve">Agenda item:    </w:t>
      </w:r>
      <w:r>
        <w:rPr>
          <w:rFonts w:hint="eastAsia" w:ascii="Arial" w:hAnsi="Arial" w:eastAsia="宋体" w:cs="Arial"/>
          <w:b/>
        </w:rPr>
        <w:t>8.5.2</w:t>
      </w:r>
    </w:p>
    <w:bookmarkEnd w:id="1"/>
    <w:bookmarkEnd w:id="2"/>
    <w:bookmarkEnd w:id="3"/>
    <w:bookmarkEnd w:id="4"/>
    <w:p>
      <w:pPr>
        <w:pBdr>
          <w:bottom w:val="single" w:color="auto" w:sz="6" w:space="1"/>
        </w:pBdr>
        <w:snapToGrid w:val="0"/>
        <w:spacing w:after="0" w:line="240" w:lineRule="auto"/>
        <w:ind w:left="1797" w:hanging="1797"/>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80" w:beforeLines="50" w:after="180" w:afterLines="50"/>
        <w:ind w:left="431" w:hanging="431"/>
        <w:rPr>
          <w:sz w:val="28"/>
          <w:lang w:val="en-US"/>
        </w:rPr>
      </w:pPr>
      <w:bookmarkStart w:id="5" w:name="OLE_LINK1"/>
      <w:r>
        <w:rPr>
          <w:sz w:val="28"/>
          <w:lang w:val="en-US"/>
        </w:rPr>
        <w:t>Introduction</w:t>
      </w:r>
    </w:p>
    <w:bookmarkEnd w:id="5"/>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After the completion of study item on Rel-17 NR positioning, collective observations and conclusions have been drawn in TR 38.857 [1]. During the RAN#90e meeting, the scope of corresponding work item has been discussed intensively. With the consideration that RAN2 hasn</w:t>
      </w:r>
      <w:r>
        <w:rPr>
          <w:rFonts w:ascii="Times New Roman" w:hAnsi="Times New Roman"/>
          <w:sz w:val="20"/>
          <w:szCs w:val="20"/>
        </w:rPr>
        <w:t>’</w:t>
      </w:r>
      <w:r>
        <w:rPr>
          <w:rFonts w:hint="eastAsia" w:ascii="Times New Roman" w:hAnsi="Times New Roman"/>
          <w:sz w:val="20"/>
          <w:szCs w:val="20"/>
        </w:rPr>
        <w:t>t finished the study item phase, so we only agreed some RAN1 centric objectives. The following objective is approved to improve positioning accuracy for angle based methods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3"/>
              </w:numPr>
              <w:adjustRightInd w:val="0"/>
              <w:snapToGrid w:val="0"/>
              <w:spacing w:before="180" w:beforeLines="50" w:after="180" w:afterLines="50" w:line="240" w:lineRule="auto"/>
              <w:ind w:left="720" w:hanging="357"/>
              <w:jc w:val="both"/>
              <w:rPr>
                <w:rFonts w:ascii="Times New Roman" w:hAnsi="Times New Roman"/>
                <w:sz w:val="18"/>
                <w:szCs w:val="18"/>
                <w:lang w:val="en-GB"/>
              </w:rPr>
            </w:pPr>
            <w:bookmarkStart w:id="6" w:name="_MON_1671968853"/>
            <w:bookmarkEnd w:id="6"/>
            <w:r>
              <w:rPr>
                <w:rFonts w:ascii="Times New Roman" w:hAnsi="Times New Roman"/>
                <w:sz w:val="18"/>
                <w:szCs w:val="18"/>
                <w:lang w:val="en-GB"/>
              </w:rPr>
              <w:t xml:space="preserve">Specify the </w:t>
            </w:r>
            <w:r>
              <w:rPr>
                <w:rFonts w:hint="eastAsia" w:ascii="Times New Roman" w:hAnsi="Times New Roman"/>
                <w:sz w:val="18"/>
                <w:szCs w:val="18"/>
                <w:lang w:val="en-GB"/>
              </w:rPr>
              <w:t xml:space="preserve">procedure, measurements, reporting, and signalling </w:t>
            </w:r>
            <w:r>
              <w:rPr>
                <w:rFonts w:ascii="Times New Roman" w:hAnsi="Times New Roman"/>
                <w:sz w:val="18"/>
                <w:szCs w:val="18"/>
                <w:lang w:val="en-GB"/>
              </w:rPr>
              <w:t>for improving the accuracy of [RAN1]</w:t>
            </w:r>
          </w:p>
          <w:p>
            <w:pPr>
              <w:numPr>
                <w:ilvl w:val="1"/>
                <w:numId w:val="3"/>
              </w:numPr>
              <w:adjustRightInd w:val="0"/>
              <w:snapToGrid w:val="0"/>
              <w:spacing w:before="180" w:beforeLines="50" w:after="180" w:afterLines="50" w:line="240" w:lineRule="auto"/>
              <w:ind w:left="1440" w:hanging="357"/>
              <w:jc w:val="both"/>
              <w:rPr>
                <w:rFonts w:ascii="Times New Roman" w:hAnsi="Times New Roman"/>
                <w:sz w:val="18"/>
                <w:szCs w:val="18"/>
                <w:lang w:val="en-GB"/>
              </w:rPr>
            </w:pPr>
            <w:r>
              <w:rPr>
                <w:rFonts w:hint="eastAsia" w:ascii="Times New Roman" w:hAnsi="Times New Roman"/>
                <w:sz w:val="18"/>
                <w:szCs w:val="18"/>
                <w:lang w:val="en-GB"/>
              </w:rPr>
              <w:t>UL AoA for network-based positioning solutions.</w:t>
            </w:r>
          </w:p>
          <w:p>
            <w:pPr>
              <w:numPr>
                <w:ilvl w:val="1"/>
                <w:numId w:val="3"/>
              </w:numPr>
              <w:adjustRightInd w:val="0"/>
              <w:snapToGrid w:val="0"/>
              <w:spacing w:before="180" w:beforeLines="50" w:after="180" w:afterLines="50" w:line="240" w:lineRule="auto"/>
              <w:ind w:hanging="357"/>
              <w:jc w:val="both"/>
              <w:rPr>
                <w:rFonts w:ascii="Times New Roman" w:hAnsi="Times New Roman"/>
                <w:sz w:val="18"/>
                <w:szCs w:val="18"/>
                <w:lang w:val="en-GB"/>
              </w:rPr>
            </w:pPr>
            <w:r>
              <w:rPr>
                <w:rFonts w:hint="eastAsia" w:ascii="Times New Roman" w:hAnsi="Times New Roman"/>
                <w:sz w:val="18"/>
                <w:szCs w:val="18"/>
                <w:lang w:val="en-GB"/>
              </w:rPr>
              <w:t>DL-AoD for UE-based and network-based (including UE-assisted) positioning solutions.</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this contribution, we discuss some existing problems and potential enhancements on UL</w:t>
      </w:r>
      <w:r>
        <w:rPr>
          <w:rFonts w:hint="eastAsia" w:ascii="Times New Roman" w:hAnsi="Times New Roman"/>
          <w:sz w:val="20"/>
          <w:szCs w:val="20"/>
          <w:lang w:val="en-US" w:eastAsia="zh-CN"/>
        </w:rPr>
        <w:t xml:space="preserve"> </w:t>
      </w:r>
      <w:r>
        <w:rPr>
          <w:rFonts w:hint="eastAsia" w:ascii="Times New Roman" w:hAnsi="Times New Roman"/>
          <w:sz w:val="20"/>
          <w:szCs w:val="20"/>
        </w:rPr>
        <w:t>AoA positioning solutions.</w:t>
      </w:r>
    </w:p>
    <w:p>
      <w:pPr>
        <w:pStyle w:val="2"/>
        <w:rPr>
          <w:lang w:val="en-US"/>
        </w:rPr>
      </w:pPr>
      <w:r>
        <w:rPr>
          <w:rFonts w:hint="eastAsia"/>
          <w:lang w:val="en-US"/>
        </w:rPr>
        <w:t>Detailed beam response</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Rel-16 NRPPa protocol [3], AOA(Angle of Arrival) report is supported by E-CID and UL-AOA positioning methods. Up to 64 TRPs can be included in a MEASUREMENT RESPONSE or MEASUREMENT REPORT message,where each TRP is only required to report a azimuth angle and optionally a zenith angle of a indicated reference signal,</w:t>
      </w:r>
      <w:r>
        <w:rPr>
          <w:rFonts w:hint="eastAsia" w:ascii="Times New Roman" w:hAnsi="Times New Roman"/>
          <w:sz w:val="20"/>
          <w:szCs w:val="20"/>
          <w:lang w:val="en-US" w:eastAsia="zh-CN"/>
        </w:rPr>
        <w:t>(</w:t>
      </w:r>
      <w:r>
        <w:rPr>
          <w:rFonts w:hint="eastAsia" w:ascii="Times New Roman" w:hAnsi="Times New Roman"/>
          <w:sz w:val="20"/>
          <w:szCs w:val="20"/>
        </w:rPr>
        <w:t>i.e. SRS</w:t>
      </w:r>
      <w:r>
        <w:rPr>
          <w:rFonts w:hint="eastAsia" w:ascii="Times New Roman" w:hAnsi="Times New Roman"/>
          <w:sz w:val="20"/>
          <w:szCs w:val="20"/>
          <w:lang w:val="en-US" w:eastAsia="zh-CN"/>
        </w:rPr>
        <w:t>)</w:t>
      </w:r>
      <w:r>
        <w:rPr>
          <w:rFonts w:hint="eastAsia" w:ascii="Times New Roman" w:hAnsi="Times New Roman"/>
          <w:sz w:val="20"/>
          <w:szCs w:val="20"/>
        </w:rPr>
        <w:t xml:space="preserve"> for UL-AOA positioning method</w:t>
      </w:r>
      <w:r>
        <w:rPr>
          <w:rFonts w:hint="eastAsia" w:ascii="Times New Roman" w:hAnsi="Times New Roman"/>
          <w:sz w:val="20"/>
          <w:szCs w:val="20"/>
          <w:lang w:val="en-US" w:eastAsia="zh-CN"/>
        </w:rPr>
        <w:t xml:space="preserve"> as shown in Table 1</w:t>
      </w:r>
      <w:r>
        <w:rPr>
          <w:rFonts w:hint="eastAsia" w:ascii="Times New Roman" w:hAnsi="Times New Roman"/>
          <w:sz w:val="20"/>
          <w:szCs w:val="20"/>
        </w:rPr>
        <w:t xml:space="preserve">. For E-CID positioning method, the UL AOA of a serving cell </w:t>
      </w:r>
      <w:r>
        <w:rPr>
          <w:rFonts w:hint="eastAsia" w:ascii="Times New Roman" w:hAnsi="Times New Roman"/>
          <w:sz w:val="20"/>
          <w:szCs w:val="20"/>
          <w:lang w:val="en-US" w:eastAsia="zh-CN"/>
        </w:rPr>
        <w:t>is</w:t>
      </w:r>
      <w:r>
        <w:rPr>
          <w:rFonts w:hint="eastAsia" w:ascii="Times New Roman" w:hAnsi="Times New Roman"/>
          <w:sz w:val="20"/>
          <w:szCs w:val="20"/>
        </w:rPr>
        <w:t xml:space="preserve"> reported by E-CID MEASUREMENT INITIATION RESPONSE or E-CID MEASUREMENT REPORT message.</w:t>
      </w:r>
    </w:p>
    <w:tbl>
      <w:tblPr>
        <w:tblStyle w:val="23"/>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top"/>
          </w:tcPr>
          <w:p>
            <w:pPr>
              <w:pStyle w:val="55"/>
              <w:rPr>
                <w:rFonts w:ascii="Times New Roman" w:hAnsi="Times New Roman"/>
              </w:rPr>
            </w:pPr>
            <w:r>
              <w:rPr>
                <w:rFonts w:ascii="Times New Roman" w:hAnsi="Times New Roman"/>
              </w:rPr>
              <w:t>IE/Group Name</w:t>
            </w:r>
          </w:p>
        </w:tc>
        <w:tc>
          <w:tcPr>
            <w:tcW w:w="1077" w:type="dxa"/>
            <w:noWrap w:val="0"/>
            <w:vAlign w:val="top"/>
          </w:tcPr>
          <w:p>
            <w:pPr>
              <w:pStyle w:val="55"/>
              <w:rPr>
                <w:rFonts w:ascii="Times New Roman" w:hAnsi="Times New Roman"/>
              </w:rPr>
            </w:pPr>
            <w:r>
              <w:rPr>
                <w:rFonts w:ascii="Times New Roman" w:hAnsi="Times New Roman"/>
              </w:rPr>
              <w:t>Presence</w:t>
            </w:r>
          </w:p>
        </w:tc>
        <w:tc>
          <w:tcPr>
            <w:tcW w:w="1077" w:type="dxa"/>
            <w:noWrap w:val="0"/>
            <w:vAlign w:val="top"/>
          </w:tcPr>
          <w:p>
            <w:pPr>
              <w:pStyle w:val="55"/>
              <w:rPr>
                <w:rFonts w:ascii="Times New Roman" w:hAnsi="Times New Roman"/>
              </w:rPr>
            </w:pPr>
            <w:r>
              <w:rPr>
                <w:rFonts w:ascii="Times New Roman" w:hAnsi="Times New Roman"/>
              </w:rPr>
              <w:t>Range</w:t>
            </w:r>
          </w:p>
        </w:tc>
        <w:tc>
          <w:tcPr>
            <w:tcW w:w="2234" w:type="dxa"/>
            <w:noWrap w:val="0"/>
            <w:vAlign w:val="top"/>
          </w:tcPr>
          <w:p>
            <w:pPr>
              <w:pStyle w:val="55"/>
              <w:rPr>
                <w:rFonts w:ascii="Times New Roman" w:hAnsi="Times New Roman"/>
              </w:rPr>
            </w:pPr>
            <w:r>
              <w:rPr>
                <w:rFonts w:ascii="Times New Roman" w:hAnsi="Times New Roman"/>
              </w:rPr>
              <w:t>IE Type and Reference</w:t>
            </w:r>
          </w:p>
        </w:tc>
        <w:tc>
          <w:tcPr>
            <w:tcW w:w="2880" w:type="dxa"/>
            <w:noWrap w:val="0"/>
            <w:vAlign w:val="top"/>
          </w:tcPr>
          <w:p>
            <w:pPr>
              <w:pStyle w:val="55"/>
              <w:rPr>
                <w:rFonts w:ascii="Times New Roman" w:hAnsi="Times New Roman"/>
              </w:rPr>
            </w:pPr>
            <w:r>
              <w:rPr>
                <w:rFonts w:ascii="Times New Roman" w:hAnsi="Times New Roman"/>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top"/>
          </w:tcPr>
          <w:p>
            <w:pPr>
              <w:pStyle w:val="57"/>
              <w:rPr>
                <w:rFonts w:ascii="Times New Roman" w:hAnsi="Times New Roman"/>
              </w:rPr>
            </w:pPr>
            <w:r>
              <w:rPr>
                <w:rFonts w:ascii="Times New Roman" w:hAnsi="Times New Roman"/>
                <w:lang w:eastAsia="zh-CN"/>
              </w:rPr>
              <w:t>Azimuth Angle of Arrival</w:t>
            </w:r>
          </w:p>
        </w:tc>
        <w:tc>
          <w:tcPr>
            <w:tcW w:w="1077" w:type="dxa"/>
            <w:noWrap w:val="0"/>
            <w:vAlign w:val="top"/>
          </w:tcPr>
          <w:p>
            <w:pPr>
              <w:pStyle w:val="57"/>
              <w:rPr>
                <w:rFonts w:ascii="Times New Roman" w:hAnsi="Times New Roman"/>
              </w:rPr>
            </w:pPr>
            <w:r>
              <w:rPr>
                <w:rFonts w:ascii="Times New Roman" w:hAnsi="Times New Roman"/>
                <w:lang w:eastAsia="zh-CN"/>
              </w:rPr>
              <w:t>M</w:t>
            </w:r>
          </w:p>
        </w:tc>
        <w:tc>
          <w:tcPr>
            <w:tcW w:w="1077" w:type="dxa"/>
            <w:noWrap w:val="0"/>
            <w:vAlign w:val="top"/>
          </w:tcPr>
          <w:p>
            <w:pPr>
              <w:pStyle w:val="57"/>
              <w:rPr>
                <w:rFonts w:ascii="Times New Roman" w:hAnsi="Times New Roman"/>
              </w:rPr>
            </w:pPr>
          </w:p>
        </w:tc>
        <w:tc>
          <w:tcPr>
            <w:tcW w:w="2234" w:type="dxa"/>
            <w:noWrap w:val="0"/>
            <w:vAlign w:val="top"/>
          </w:tcPr>
          <w:p>
            <w:pPr>
              <w:pStyle w:val="57"/>
              <w:rPr>
                <w:rFonts w:ascii="Times New Roman" w:hAnsi="Times New Roman"/>
              </w:rPr>
            </w:pPr>
            <w:r>
              <w:rPr>
                <w:rFonts w:ascii="Times New Roman" w:hAnsi="Times New Roman"/>
                <w:lang w:eastAsia="zh-CN"/>
              </w:rPr>
              <w:t>INTEGER(0..3599)</w:t>
            </w:r>
          </w:p>
        </w:tc>
        <w:tc>
          <w:tcPr>
            <w:tcW w:w="2880" w:type="dxa"/>
            <w:noWrap w:val="0"/>
            <w:vAlign w:val="top"/>
          </w:tcPr>
          <w:p>
            <w:pPr>
              <w:pStyle w:val="57"/>
              <w:rPr>
                <w:rFonts w:ascii="Times New Roman" w:hAnsi="Times New Roman"/>
                <w:bCs/>
                <w:lang w:eastAsia="zh-CN"/>
              </w:rPr>
            </w:pPr>
            <w:r>
              <w:rPr>
                <w:rFonts w:ascii="Times New Roman" w:hAnsi="Times New Roman"/>
                <w:bCs/>
                <w:lang w:eastAsia="zh-CN"/>
              </w:rPr>
              <w:t>TS 38.133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top"/>
          </w:tcPr>
          <w:p>
            <w:pPr>
              <w:pStyle w:val="57"/>
              <w:rPr>
                <w:rFonts w:ascii="Times New Roman" w:hAnsi="Times New Roman"/>
              </w:rPr>
            </w:pPr>
            <w:r>
              <w:rPr>
                <w:rFonts w:ascii="Times New Roman" w:hAnsi="Times New Roman"/>
                <w:lang w:eastAsia="zh-CN"/>
              </w:rPr>
              <w:t>Zenith Angle of Arrival</w:t>
            </w:r>
          </w:p>
        </w:tc>
        <w:tc>
          <w:tcPr>
            <w:tcW w:w="1077" w:type="dxa"/>
            <w:noWrap w:val="0"/>
            <w:vAlign w:val="top"/>
          </w:tcPr>
          <w:p>
            <w:pPr>
              <w:pStyle w:val="57"/>
              <w:rPr>
                <w:rFonts w:ascii="Times New Roman" w:hAnsi="Times New Roman"/>
              </w:rPr>
            </w:pPr>
            <w:r>
              <w:rPr>
                <w:rFonts w:ascii="Times New Roman" w:hAnsi="Times New Roman"/>
                <w:lang w:eastAsia="zh-CN"/>
              </w:rPr>
              <w:t>O</w:t>
            </w:r>
          </w:p>
        </w:tc>
        <w:tc>
          <w:tcPr>
            <w:tcW w:w="1077" w:type="dxa"/>
            <w:noWrap w:val="0"/>
            <w:vAlign w:val="top"/>
          </w:tcPr>
          <w:p>
            <w:pPr>
              <w:pStyle w:val="57"/>
              <w:rPr>
                <w:rFonts w:ascii="Times New Roman" w:hAnsi="Times New Roman"/>
              </w:rPr>
            </w:pPr>
          </w:p>
        </w:tc>
        <w:tc>
          <w:tcPr>
            <w:tcW w:w="2234" w:type="dxa"/>
            <w:noWrap w:val="0"/>
            <w:vAlign w:val="top"/>
          </w:tcPr>
          <w:p>
            <w:pPr>
              <w:pStyle w:val="57"/>
              <w:rPr>
                <w:rFonts w:ascii="Times New Roman" w:hAnsi="Times New Roman"/>
              </w:rPr>
            </w:pPr>
            <w:r>
              <w:rPr>
                <w:rFonts w:ascii="Times New Roman" w:hAnsi="Times New Roman"/>
                <w:lang w:eastAsia="zh-CN"/>
              </w:rPr>
              <w:t>INTEGER(0..1799)</w:t>
            </w:r>
          </w:p>
        </w:tc>
        <w:tc>
          <w:tcPr>
            <w:tcW w:w="2880" w:type="dxa"/>
            <w:noWrap w:val="0"/>
            <w:vAlign w:val="top"/>
          </w:tcPr>
          <w:p>
            <w:pPr>
              <w:pStyle w:val="57"/>
              <w:rPr>
                <w:rFonts w:ascii="Times New Roman" w:hAnsi="Times New Roman"/>
                <w:bCs/>
                <w:lang w:eastAsia="zh-CN"/>
              </w:rPr>
            </w:pPr>
            <w:r>
              <w:rPr>
                <w:rFonts w:ascii="Times New Roman" w:hAnsi="Times New Roman"/>
                <w:bCs/>
                <w:lang w:eastAsia="zh-CN"/>
              </w:rPr>
              <w:t>TS 38.133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top"/>
          </w:tcPr>
          <w:p>
            <w:pPr>
              <w:pStyle w:val="57"/>
              <w:rPr>
                <w:rFonts w:ascii="Times New Roman" w:hAnsi="Times New Roman"/>
                <w:lang w:eastAsia="zh-CN"/>
              </w:rPr>
            </w:pPr>
            <w:r>
              <w:rPr>
                <w:rFonts w:ascii="Times New Roman" w:hAnsi="Times New Roman"/>
                <w:b/>
                <w:bCs/>
                <w:lang w:eastAsia="zh-CN"/>
              </w:rPr>
              <w:t>LCS to GCS Translation</w:t>
            </w:r>
          </w:p>
        </w:tc>
        <w:tc>
          <w:tcPr>
            <w:tcW w:w="1077" w:type="dxa"/>
            <w:noWrap w:val="0"/>
            <w:vAlign w:val="top"/>
          </w:tcPr>
          <w:p>
            <w:pPr>
              <w:pStyle w:val="57"/>
              <w:rPr>
                <w:rFonts w:ascii="Times New Roman" w:hAnsi="Times New Roman"/>
              </w:rPr>
            </w:pPr>
          </w:p>
        </w:tc>
        <w:tc>
          <w:tcPr>
            <w:tcW w:w="1077" w:type="dxa"/>
            <w:noWrap w:val="0"/>
            <w:vAlign w:val="top"/>
          </w:tcPr>
          <w:p>
            <w:pPr>
              <w:pStyle w:val="57"/>
              <w:rPr>
                <w:rFonts w:ascii="Times New Roman" w:hAnsi="Times New Roman"/>
              </w:rPr>
            </w:pPr>
            <w:r>
              <w:rPr>
                <w:rFonts w:ascii="Times New Roman" w:hAnsi="Times New Roman"/>
                <w:i/>
                <w:iCs/>
                <w:lang w:eastAsia="zh-CN"/>
              </w:rPr>
              <w:t>0..1</w:t>
            </w:r>
          </w:p>
        </w:tc>
        <w:tc>
          <w:tcPr>
            <w:tcW w:w="2234" w:type="dxa"/>
            <w:noWrap w:val="0"/>
            <w:vAlign w:val="top"/>
          </w:tcPr>
          <w:p>
            <w:pPr>
              <w:pStyle w:val="57"/>
              <w:rPr>
                <w:rFonts w:ascii="Times New Roman" w:hAnsi="Times New Roman"/>
                <w:lang w:eastAsia="zh-CN"/>
              </w:rPr>
            </w:pPr>
          </w:p>
        </w:tc>
        <w:tc>
          <w:tcPr>
            <w:tcW w:w="2880" w:type="dxa"/>
            <w:noWrap w:val="0"/>
            <w:vAlign w:val="top"/>
          </w:tcPr>
          <w:p>
            <w:pPr>
              <w:pStyle w:val="57"/>
              <w:rPr>
                <w:rFonts w:ascii="Times New Roman" w:hAnsi="Times New Roman"/>
                <w:bCs/>
                <w:lang w:eastAsia="zh-CN"/>
              </w:rPr>
            </w:pPr>
            <w:r>
              <w:rPr>
                <w:rFonts w:ascii="Times New Roman" w:hAnsi="Times New Roman"/>
                <w:lang w:eastAsia="zh-CN"/>
              </w:rPr>
              <w:t>If absent, the azimuth and zenith are provided in GCS.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top"/>
          </w:tcPr>
          <w:p>
            <w:pPr>
              <w:pStyle w:val="57"/>
              <w:ind w:left="142"/>
              <w:rPr>
                <w:rFonts w:ascii="Times New Roman" w:hAnsi="Times New Roman"/>
                <w:lang w:eastAsia="zh-CN"/>
              </w:rPr>
            </w:pPr>
            <w:r>
              <w:rPr>
                <w:rFonts w:ascii="Times New Roman" w:hAnsi="Times New Roman"/>
              </w:rPr>
              <w:t>&gt;Alpha</w:t>
            </w:r>
          </w:p>
        </w:tc>
        <w:tc>
          <w:tcPr>
            <w:tcW w:w="1077" w:type="dxa"/>
            <w:noWrap w:val="0"/>
            <w:vAlign w:val="top"/>
          </w:tcPr>
          <w:p>
            <w:pPr>
              <w:pStyle w:val="57"/>
              <w:rPr>
                <w:rFonts w:ascii="Times New Roman" w:hAnsi="Times New Roman"/>
              </w:rPr>
            </w:pPr>
            <w:r>
              <w:rPr>
                <w:rFonts w:ascii="Times New Roman" w:hAnsi="Times New Roman"/>
                <w:lang w:eastAsia="zh-CN"/>
              </w:rPr>
              <w:t>M</w:t>
            </w:r>
          </w:p>
        </w:tc>
        <w:tc>
          <w:tcPr>
            <w:tcW w:w="1077" w:type="dxa"/>
            <w:noWrap w:val="0"/>
            <w:vAlign w:val="top"/>
          </w:tcPr>
          <w:p>
            <w:pPr>
              <w:pStyle w:val="57"/>
              <w:rPr>
                <w:rFonts w:ascii="Times New Roman" w:hAnsi="Times New Roman"/>
              </w:rPr>
            </w:pPr>
          </w:p>
        </w:tc>
        <w:tc>
          <w:tcPr>
            <w:tcW w:w="2234" w:type="dxa"/>
            <w:noWrap w:val="0"/>
            <w:vAlign w:val="top"/>
          </w:tcPr>
          <w:p>
            <w:pPr>
              <w:pStyle w:val="57"/>
              <w:rPr>
                <w:rFonts w:ascii="Times New Roman" w:hAnsi="Times New Roman"/>
                <w:lang w:eastAsia="zh-CN"/>
              </w:rPr>
            </w:pPr>
            <w:r>
              <w:rPr>
                <w:rFonts w:ascii="Times New Roman" w:hAnsi="Times New Roman"/>
                <w:lang w:eastAsia="zh-CN"/>
              </w:rPr>
              <w:t>INTEGER (0..3599)</w:t>
            </w:r>
          </w:p>
        </w:tc>
        <w:tc>
          <w:tcPr>
            <w:tcW w:w="2880" w:type="dxa"/>
            <w:noWrap w:val="0"/>
            <w:vAlign w:val="top"/>
          </w:tcPr>
          <w:p>
            <w:pPr>
              <w:pStyle w:val="57"/>
              <w:rPr>
                <w:rFonts w:ascii="Times New Roman" w:hAnsi="Times New Roman"/>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top"/>
          </w:tcPr>
          <w:p>
            <w:pPr>
              <w:pStyle w:val="57"/>
              <w:ind w:left="142"/>
              <w:rPr>
                <w:rFonts w:ascii="Times New Roman" w:hAnsi="Times New Roman"/>
                <w:lang w:eastAsia="zh-CN"/>
              </w:rPr>
            </w:pPr>
            <w:r>
              <w:rPr>
                <w:rFonts w:ascii="Times New Roman" w:hAnsi="Times New Roman"/>
              </w:rPr>
              <w:t>&gt;Beta</w:t>
            </w:r>
          </w:p>
        </w:tc>
        <w:tc>
          <w:tcPr>
            <w:tcW w:w="1077" w:type="dxa"/>
            <w:noWrap w:val="0"/>
            <w:vAlign w:val="top"/>
          </w:tcPr>
          <w:p>
            <w:pPr>
              <w:pStyle w:val="57"/>
              <w:rPr>
                <w:rFonts w:ascii="Times New Roman" w:hAnsi="Times New Roman"/>
              </w:rPr>
            </w:pPr>
            <w:r>
              <w:rPr>
                <w:rFonts w:ascii="Times New Roman" w:hAnsi="Times New Roman"/>
                <w:lang w:eastAsia="zh-CN"/>
              </w:rPr>
              <w:t>M</w:t>
            </w:r>
          </w:p>
        </w:tc>
        <w:tc>
          <w:tcPr>
            <w:tcW w:w="1077" w:type="dxa"/>
            <w:noWrap w:val="0"/>
            <w:vAlign w:val="top"/>
          </w:tcPr>
          <w:p>
            <w:pPr>
              <w:pStyle w:val="57"/>
              <w:rPr>
                <w:rFonts w:ascii="Times New Roman" w:hAnsi="Times New Roman"/>
              </w:rPr>
            </w:pPr>
          </w:p>
        </w:tc>
        <w:tc>
          <w:tcPr>
            <w:tcW w:w="2234" w:type="dxa"/>
            <w:noWrap w:val="0"/>
            <w:vAlign w:val="top"/>
          </w:tcPr>
          <w:p>
            <w:pPr>
              <w:pStyle w:val="57"/>
              <w:rPr>
                <w:rFonts w:ascii="Times New Roman" w:hAnsi="Times New Roman"/>
                <w:lang w:eastAsia="zh-CN"/>
              </w:rPr>
            </w:pPr>
            <w:r>
              <w:rPr>
                <w:rFonts w:ascii="Times New Roman" w:hAnsi="Times New Roman"/>
                <w:lang w:eastAsia="zh-CN"/>
              </w:rPr>
              <w:t>INTEGER (0..3599)</w:t>
            </w:r>
          </w:p>
        </w:tc>
        <w:tc>
          <w:tcPr>
            <w:tcW w:w="2880" w:type="dxa"/>
            <w:noWrap w:val="0"/>
            <w:vAlign w:val="top"/>
          </w:tcPr>
          <w:p>
            <w:pPr>
              <w:pStyle w:val="57"/>
              <w:rPr>
                <w:rFonts w:ascii="Times New Roman" w:hAnsi="Times New Roman"/>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noWrap w:val="0"/>
            <w:vAlign w:val="top"/>
          </w:tcPr>
          <w:p>
            <w:pPr>
              <w:pStyle w:val="57"/>
              <w:ind w:left="142"/>
              <w:rPr>
                <w:rFonts w:ascii="Times New Roman" w:hAnsi="Times New Roman"/>
                <w:lang w:eastAsia="zh-CN"/>
              </w:rPr>
            </w:pPr>
            <w:r>
              <w:rPr>
                <w:rFonts w:ascii="Times New Roman" w:hAnsi="Times New Roman"/>
              </w:rPr>
              <w:t>&gt;Gamma</w:t>
            </w:r>
          </w:p>
        </w:tc>
        <w:tc>
          <w:tcPr>
            <w:tcW w:w="1077" w:type="dxa"/>
            <w:noWrap w:val="0"/>
            <w:vAlign w:val="top"/>
          </w:tcPr>
          <w:p>
            <w:pPr>
              <w:pStyle w:val="57"/>
              <w:rPr>
                <w:rFonts w:ascii="Times New Roman" w:hAnsi="Times New Roman"/>
              </w:rPr>
            </w:pPr>
            <w:r>
              <w:rPr>
                <w:rFonts w:ascii="Times New Roman" w:hAnsi="Times New Roman"/>
                <w:lang w:eastAsia="zh-CN"/>
              </w:rPr>
              <w:t>M</w:t>
            </w:r>
          </w:p>
        </w:tc>
        <w:tc>
          <w:tcPr>
            <w:tcW w:w="1077" w:type="dxa"/>
            <w:noWrap w:val="0"/>
            <w:vAlign w:val="top"/>
          </w:tcPr>
          <w:p>
            <w:pPr>
              <w:pStyle w:val="57"/>
              <w:rPr>
                <w:rFonts w:ascii="Times New Roman" w:hAnsi="Times New Roman"/>
              </w:rPr>
            </w:pPr>
          </w:p>
        </w:tc>
        <w:tc>
          <w:tcPr>
            <w:tcW w:w="2234" w:type="dxa"/>
            <w:noWrap w:val="0"/>
            <w:vAlign w:val="top"/>
          </w:tcPr>
          <w:p>
            <w:pPr>
              <w:pStyle w:val="57"/>
              <w:rPr>
                <w:rFonts w:ascii="Times New Roman" w:hAnsi="Times New Roman"/>
                <w:lang w:eastAsia="zh-CN"/>
              </w:rPr>
            </w:pPr>
            <w:r>
              <w:rPr>
                <w:rFonts w:ascii="Times New Roman" w:hAnsi="Times New Roman"/>
                <w:lang w:eastAsia="zh-CN"/>
              </w:rPr>
              <w:t>INTEGER (0..3599)</w:t>
            </w:r>
          </w:p>
        </w:tc>
        <w:tc>
          <w:tcPr>
            <w:tcW w:w="2880" w:type="dxa"/>
            <w:noWrap w:val="0"/>
            <w:vAlign w:val="top"/>
          </w:tcPr>
          <w:p>
            <w:pPr>
              <w:pStyle w:val="57"/>
              <w:rPr>
                <w:rFonts w:ascii="Times New Roman" w:hAnsi="Times New Roman"/>
                <w:bCs/>
                <w:lang w:eastAsia="zh-CN"/>
              </w:rPr>
            </w:pPr>
          </w:p>
        </w:tc>
      </w:tr>
    </w:tbl>
    <w:p>
      <w:pPr>
        <w:snapToGrid w:val="0"/>
        <w:spacing w:before="180" w:beforeLines="50" w:after="180" w:afterLines="50" w:line="240" w:lineRule="auto"/>
        <w:jc w:val="center"/>
        <w:rPr>
          <w:rFonts w:hint="default" w:ascii="Times New Roman" w:hAnsi="Times New Roman" w:eastAsiaTheme="minorEastAsia"/>
          <w:sz w:val="20"/>
          <w:szCs w:val="20"/>
          <w:lang w:val="en-US" w:eastAsia="zh-CN"/>
        </w:rPr>
      </w:pPr>
      <w:r>
        <w:rPr>
          <w:rFonts w:hint="eastAsia" w:ascii="Times New Roman" w:hAnsi="Times New Roman"/>
          <w:sz w:val="20"/>
          <w:szCs w:val="20"/>
          <w:lang w:val="en-US" w:eastAsia="zh-CN"/>
        </w:rPr>
        <w:t>Table</w:t>
      </w:r>
      <w:r>
        <w:rPr>
          <w:rFonts w:hint="eastAsia" w:ascii="Times New Roman" w:hAnsi="Times New Roman"/>
          <w:sz w:val="20"/>
          <w:szCs w:val="20"/>
        </w:rPr>
        <w:t>.1 the detailed information of AOA measurement report</w:t>
      </w:r>
      <w:r>
        <w:rPr>
          <w:rFonts w:hint="eastAsia" w:ascii="Times New Roman" w:hAnsi="Times New Roman"/>
          <w:sz w:val="20"/>
          <w:szCs w:val="20"/>
          <w:lang w:val="en-US" w:eastAsia="zh-CN"/>
        </w:rPr>
        <w:t xml:space="preserve"> in Rel-16</w:t>
      </w:r>
    </w:p>
    <w:p>
      <w:pPr>
        <w:snapToGrid w:val="0"/>
        <w:spacing w:before="180" w:beforeLines="50" w:after="180" w:afterLines="50" w:line="240" w:lineRule="auto"/>
        <w:rPr>
          <w:rFonts w:ascii="Times New Roman" w:hAnsi="Times New Roman"/>
          <w:i/>
          <w:iCs/>
          <w:sz w:val="20"/>
          <w:szCs w:val="20"/>
        </w:rPr>
      </w:pPr>
      <w:r>
        <w:rPr>
          <w:rFonts w:hint="eastAsia" w:ascii="Times New Roman" w:hAnsi="Times New Roman"/>
          <w:b/>
          <w:bCs/>
          <w:i/>
          <w:iCs/>
          <w:sz w:val="20"/>
          <w:szCs w:val="20"/>
        </w:rPr>
        <w:t>Observation 1:</w:t>
      </w:r>
      <w:r>
        <w:rPr>
          <w:rFonts w:hint="eastAsia" w:ascii="Times New Roman" w:hAnsi="Times New Roman"/>
          <w:i/>
          <w:iCs/>
          <w:sz w:val="20"/>
          <w:szCs w:val="20"/>
        </w:rPr>
        <w:t xml:space="preserve"> Based on the design of Rel-16 NR positioning, the uplink Angle of Arrival measurement only includes a</w:t>
      </w:r>
      <w:r>
        <w:rPr>
          <w:rFonts w:ascii="Times New Roman" w:hAnsi="Times New Roman"/>
          <w:i/>
          <w:iCs/>
          <w:sz w:val="20"/>
          <w:szCs w:val="20"/>
        </w:rPr>
        <w:t>n</w:t>
      </w:r>
      <w:r>
        <w:rPr>
          <w:rFonts w:hint="eastAsia" w:ascii="Times New Roman" w:hAnsi="Times New Roman"/>
          <w:i/>
          <w:iCs/>
          <w:sz w:val="20"/>
          <w:szCs w:val="20"/>
        </w:rPr>
        <w:t xml:space="preserve"> azimuth angle and optionally a zenith angle for a TRP or a serving cell.</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How to get precise UL AOA measurement is very important for LMF to do location computation. However, as we discussed before, the current specification only supports a coarse information of angle information without considering any detailed beam radiation pattern. As we all know, the beam radiation pattern highly depends on antenna structure, antenna number and antenna spacing. As some examples, FIG.2 shows beam radiation patterns of some ULA (uniform linear antenna) antenna arrays. According to those figures, we can </w:t>
      </w:r>
      <w:r>
        <w:rPr>
          <w:rFonts w:ascii="Times New Roman" w:hAnsi="Times New Roman"/>
          <w:sz w:val="20"/>
          <w:szCs w:val="20"/>
        </w:rPr>
        <w:t>observe</w:t>
      </w:r>
      <w:r>
        <w:rPr>
          <w:rFonts w:hint="eastAsia" w:ascii="Times New Roman" w:hAnsi="Times New Roman"/>
          <w:sz w:val="20"/>
          <w:szCs w:val="20"/>
        </w:rPr>
        <w:t>,</w:t>
      </w:r>
    </w:p>
    <w:p>
      <w:pPr>
        <w:numPr>
          <w:ilvl w:val="0"/>
          <w:numId w:val="4"/>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With the increase of antenna number, the beam width of main lobe is narrowed.</w:t>
      </w:r>
    </w:p>
    <w:p>
      <w:pPr>
        <w:numPr>
          <w:ilvl w:val="0"/>
          <w:numId w:val="4"/>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With the increase of antenna spacing, the beam width of main lobe is narrowed, but the number of side lobes is increased.</w:t>
      </w:r>
    </w:p>
    <w:p>
      <w:pPr>
        <w:snapToGrid w:val="0"/>
        <w:spacing w:before="180" w:beforeLines="50" w:after="180" w:afterLines="50" w:line="240" w:lineRule="auto"/>
        <w:jc w:val="both"/>
      </w:pPr>
      <w:r>
        <w:drawing>
          <wp:inline distT="0" distB="0" distL="114300" distR="114300">
            <wp:extent cx="5932805" cy="2545080"/>
            <wp:effectExtent l="0" t="0" r="10795"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5932805" cy="2545080"/>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w:t>
      </w:r>
      <w:r>
        <w:rPr>
          <w:rFonts w:hint="eastAsia" w:ascii="Times New Roman" w:hAnsi="Times New Roman"/>
          <w:sz w:val="20"/>
          <w:szCs w:val="20"/>
          <w:lang w:val="en-US" w:eastAsia="zh-CN"/>
        </w:rPr>
        <w:t>1</w:t>
      </w:r>
      <w:r>
        <w:rPr>
          <w:rFonts w:hint="eastAsia" w:ascii="Times New Roman" w:hAnsi="Times New Roman"/>
          <w:sz w:val="20"/>
          <w:szCs w:val="20"/>
        </w:rPr>
        <w:t xml:space="preserve"> Antenna radiation patterns of some ULA antenna arrays</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2:</w:t>
      </w:r>
      <w:r>
        <w:rPr>
          <w:rFonts w:hint="eastAsia" w:ascii="Times New Roman" w:hAnsi="Times New Roman"/>
          <w:i/>
          <w:iCs/>
          <w:sz w:val="20"/>
          <w:szCs w:val="20"/>
        </w:rPr>
        <w:t xml:space="preserve"> Regarding the characteristics of beam radiation</w:t>
      </w:r>
      <w:r>
        <w:rPr>
          <w:rFonts w:ascii="Times New Roman" w:hAnsi="Times New Roman"/>
          <w:i/>
          <w:iCs/>
          <w:sz w:val="20"/>
          <w:szCs w:val="20"/>
        </w:rPr>
        <w:t xml:space="preserve"> </w:t>
      </w:r>
      <w:r>
        <w:rPr>
          <w:rFonts w:hint="eastAsia" w:ascii="Times New Roman" w:hAnsi="Times New Roman"/>
          <w:i/>
          <w:iCs/>
          <w:sz w:val="20"/>
          <w:szCs w:val="20"/>
        </w:rPr>
        <w:t>pattern for ULA antenna arrays,</w:t>
      </w:r>
    </w:p>
    <w:p>
      <w:pPr>
        <w:numPr>
          <w:ilvl w:val="0"/>
          <w:numId w:val="4"/>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With the increase of antenna number, the beam width of main lobe is narrowed.</w:t>
      </w:r>
    </w:p>
    <w:p>
      <w:pPr>
        <w:numPr>
          <w:ilvl w:val="0"/>
          <w:numId w:val="4"/>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With the increase of antenna spacing, the beam width main lobe is narrowed, but the number of side lobes is increased.</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Take FIG. </w:t>
      </w:r>
      <w:r>
        <w:rPr>
          <w:rFonts w:hint="eastAsia" w:ascii="Times New Roman" w:hAnsi="Times New Roman"/>
          <w:sz w:val="20"/>
          <w:szCs w:val="20"/>
          <w:lang w:val="en-US" w:eastAsia="zh-CN"/>
        </w:rPr>
        <w:t>1</w:t>
      </w:r>
      <w:r>
        <w:rPr>
          <w:rFonts w:hint="eastAsia" w:ascii="Times New Roman" w:hAnsi="Times New Roman"/>
          <w:sz w:val="20"/>
          <w:szCs w:val="20"/>
        </w:rPr>
        <w:t>-1 as an example, it</w:t>
      </w:r>
      <w:r>
        <w:rPr>
          <w:rFonts w:ascii="Times New Roman" w:hAnsi="Times New Roman"/>
          <w:sz w:val="20"/>
          <w:szCs w:val="20"/>
        </w:rPr>
        <w:t>’</w:t>
      </w:r>
      <w:r>
        <w:rPr>
          <w:rFonts w:hint="eastAsia" w:ascii="Times New Roman" w:hAnsi="Times New Roman"/>
          <w:sz w:val="20"/>
          <w:szCs w:val="20"/>
        </w:rPr>
        <w:t>s obvious only an angle information reported in the AOA measurement is not enough. If LMF is not aware of beam width (e.g. HPBW, Half Power Beam width), the angle information is the only information that can be used for positioning. One possible enhancement is to provide some additional information of beam width to LMF, so that LMF can search for a right direction in a</w:t>
      </w:r>
      <w:r>
        <w:rPr>
          <w:rFonts w:ascii="Times New Roman" w:hAnsi="Times New Roman"/>
          <w:sz w:val="20"/>
          <w:szCs w:val="20"/>
        </w:rPr>
        <w:t>n</w:t>
      </w:r>
      <w:r>
        <w:rPr>
          <w:rFonts w:hint="eastAsia" w:ascii="Times New Roman" w:hAnsi="Times New Roman"/>
          <w:sz w:val="20"/>
          <w:szCs w:val="20"/>
        </w:rPr>
        <w:t xml:space="preserve"> angle range. As another example in FIG. </w:t>
      </w:r>
      <w:r>
        <w:rPr>
          <w:rFonts w:hint="eastAsia" w:ascii="Times New Roman" w:hAnsi="Times New Roman"/>
          <w:sz w:val="20"/>
          <w:szCs w:val="20"/>
          <w:lang w:val="en-US" w:eastAsia="zh-CN"/>
        </w:rPr>
        <w:t>1</w:t>
      </w:r>
      <w:r>
        <w:rPr>
          <w:rFonts w:hint="eastAsia" w:ascii="Times New Roman" w:hAnsi="Times New Roman"/>
          <w:sz w:val="20"/>
          <w:szCs w:val="20"/>
        </w:rPr>
        <w:t>-3, if the antenna gain of side lobes is very strong, which is comparable to main lobe, it</w:t>
      </w:r>
      <w:r>
        <w:rPr>
          <w:rFonts w:ascii="Times New Roman" w:hAnsi="Times New Roman"/>
          <w:sz w:val="20"/>
          <w:szCs w:val="20"/>
        </w:rPr>
        <w:t>’</w:t>
      </w:r>
      <w:r>
        <w:rPr>
          <w:rFonts w:hint="eastAsia" w:ascii="Times New Roman" w:hAnsi="Times New Roman"/>
          <w:sz w:val="20"/>
          <w:szCs w:val="20"/>
        </w:rPr>
        <w:t>s hard</w:t>
      </w:r>
      <w:r>
        <w:rPr>
          <w:rFonts w:ascii="Times New Roman" w:hAnsi="Times New Roman"/>
          <w:sz w:val="20"/>
          <w:szCs w:val="20"/>
        </w:rPr>
        <w:t xml:space="preserve"> for </w:t>
      </w:r>
      <w:r>
        <w:rPr>
          <w:rFonts w:hint="eastAsia" w:ascii="Times New Roman" w:hAnsi="Times New Roman"/>
          <w:sz w:val="20"/>
          <w:szCs w:val="20"/>
          <w:lang w:val="en-US" w:eastAsia="zh-CN"/>
        </w:rPr>
        <w:t>LMF</w:t>
      </w:r>
      <w:r>
        <w:rPr>
          <w:rFonts w:hint="eastAsia" w:ascii="Times New Roman" w:hAnsi="Times New Roman"/>
          <w:sz w:val="20"/>
          <w:szCs w:val="20"/>
        </w:rPr>
        <w:t xml:space="preserve"> to differentiate </w:t>
      </w:r>
      <w:r>
        <w:rPr>
          <w:rFonts w:ascii="Times New Roman" w:hAnsi="Times New Roman"/>
          <w:sz w:val="20"/>
          <w:szCs w:val="20"/>
        </w:rPr>
        <w:t>between</w:t>
      </w:r>
      <w:r>
        <w:rPr>
          <w:rFonts w:hint="eastAsia" w:ascii="Times New Roman" w:hAnsi="Times New Roman"/>
          <w:sz w:val="20"/>
          <w:szCs w:val="20"/>
        </w:rPr>
        <w:t xml:space="preserve"> </w:t>
      </w:r>
      <w:r>
        <w:rPr>
          <w:rFonts w:ascii="Times New Roman" w:hAnsi="Times New Roman"/>
          <w:sz w:val="20"/>
          <w:szCs w:val="20"/>
        </w:rPr>
        <w:t xml:space="preserve">the </w:t>
      </w:r>
      <w:r>
        <w:rPr>
          <w:rFonts w:hint="eastAsia" w:ascii="Times New Roman" w:hAnsi="Times New Roman"/>
          <w:sz w:val="20"/>
          <w:szCs w:val="20"/>
        </w:rPr>
        <w:t>locat</w:t>
      </w:r>
      <w:r>
        <w:rPr>
          <w:rFonts w:ascii="Times New Roman" w:hAnsi="Times New Roman"/>
          <w:sz w:val="20"/>
          <w:szCs w:val="20"/>
        </w:rPr>
        <w:t>ion</w:t>
      </w:r>
      <w:r>
        <w:rPr>
          <w:rFonts w:hint="eastAsia" w:ascii="Times New Roman" w:hAnsi="Times New Roman"/>
          <w:sz w:val="20"/>
          <w:szCs w:val="20"/>
        </w:rPr>
        <w:t xml:space="preserve"> in the direction of a main lobe </w:t>
      </w:r>
      <w:r>
        <w:rPr>
          <w:rFonts w:ascii="Times New Roman" w:hAnsi="Times New Roman"/>
          <w:sz w:val="20"/>
          <w:szCs w:val="20"/>
        </w:rPr>
        <w:t>and the location in</w:t>
      </w:r>
      <w:r>
        <w:rPr>
          <w:rFonts w:hint="eastAsia" w:ascii="Times New Roman" w:hAnsi="Times New Roman"/>
          <w:sz w:val="20"/>
          <w:szCs w:val="20"/>
        </w:rPr>
        <w:t xml:space="preserve"> a side lobe. Reporting more information of the direction of side lobes and corresponding gains will mitigate the problem</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B</w:t>
      </w:r>
      <w:r>
        <w:rPr>
          <w:rFonts w:hint="eastAsia" w:ascii="Times New Roman" w:hAnsi="Times New Roman"/>
          <w:sz w:val="20"/>
          <w:szCs w:val="20"/>
        </w:rPr>
        <w:t xml:space="preserve">y </w:t>
      </w:r>
      <w:r>
        <w:rPr>
          <w:rFonts w:ascii="Times New Roman" w:hAnsi="Times New Roman"/>
          <w:sz w:val="20"/>
          <w:szCs w:val="20"/>
        </w:rPr>
        <w:t xml:space="preserve">doing </w:t>
      </w:r>
      <w:r>
        <w:rPr>
          <w:rFonts w:hint="eastAsia" w:ascii="Times New Roman" w:hAnsi="Times New Roman"/>
          <w:sz w:val="20"/>
          <w:szCs w:val="20"/>
        </w:rPr>
        <w:t xml:space="preserve">this, the LMF will decide which angle information is better for positioning. </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In order to improve positioning accuracy</w:t>
      </w:r>
      <w:r>
        <w:rPr>
          <w:rFonts w:hint="eastAsia" w:ascii="Times New Roman" w:hAnsi="Times New Roman"/>
          <w:i/>
          <w:iCs/>
          <w:sz w:val="20"/>
          <w:szCs w:val="20"/>
          <w:lang w:val="en-US" w:eastAsia="zh-CN"/>
        </w:rPr>
        <w:t xml:space="preserve"> based on</w:t>
      </w:r>
      <w:r>
        <w:rPr>
          <w:rFonts w:hint="eastAsia" w:ascii="Times New Roman" w:hAnsi="Times New Roman"/>
          <w:i/>
          <w:iCs/>
          <w:sz w:val="20"/>
          <w:szCs w:val="20"/>
        </w:rPr>
        <w:t xml:space="preserve"> UL AOA</w:t>
      </w:r>
      <w:r>
        <w:rPr>
          <w:rFonts w:hint="eastAsia" w:ascii="Times New Roman" w:hAnsi="Times New Roman"/>
          <w:i/>
          <w:iCs/>
          <w:sz w:val="20"/>
          <w:szCs w:val="20"/>
          <w:lang w:val="en-US" w:eastAsia="zh-CN"/>
        </w:rPr>
        <w:t xml:space="preserve"> measurements</w:t>
      </w:r>
      <w:r>
        <w:rPr>
          <w:rFonts w:hint="eastAsia" w:ascii="Times New Roman" w:hAnsi="Times New Roman"/>
          <w:i/>
          <w:iCs/>
          <w:sz w:val="20"/>
          <w:szCs w:val="20"/>
        </w:rPr>
        <w:t xml:space="preserve">, some additional </w:t>
      </w:r>
      <w:r>
        <w:rPr>
          <w:rFonts w:hint="eastAsia" w:ascii="Times New Roman" w:hAnsi="Times New Roman"/>
          <w:i/>
          <w:iCs/>
          <w:sz w:val="20"/>
          <w:szCs w:val="20"/>
          <w:lang w:val="en-US" w:eastAsia="zh-CN"/>
        </w:rPr>
        <w:t xml:space="preserve">beam information </w:t>
      </w:r>
      <w:r>
        <w:rPr>
          <w:rFonts w:hint="eastAsia" w:ascii="Times New Roman" w:hAnsi="Times New Roman"/>
          <w:i/>
          <w:iCs/>
          <w:sz w:val="20"/>
          <w:szCs w:val="20"/>
        </w:rPr>
        <w:t>should be provided to LMF, e.g.</w:t>
      </w:r>
      <w:r>
        <w:rPr>
          <w:rFonts w:hint="eastAsia" w:ascii="Times New Roman" w:hAnsi="Times New Roman"/>
          <w:i/>
          <w:iCs/>
          <w:sz w:val="20"/>
          <w:szCs w:val="20"/>
          <w:lang w:val="en-US" w:eastAsia="zh-CN"/>
        </w:rPr>
        <w:t xml:space="preserve"> antenna layout, beam width</w:t>
      </w:r>
      <w:r>
        <w:rPr>
          <w:rFonts w:hint="eastAsia" w:ascii="Times New Roman" w:hAnsi="Times New Roman"/>
          <w:i/>
          <w:iCs/>
          <w:sz w:val="20"/>
          <w:szCs w:val="20"/>
        </w:rPr>
        <w:t xml:space="preserve">, </w:t>
      </w:r>
      <w:r>
        <w:rPr>
          <w:rFonts w:hint="eastAsia" w:ascii="Times New Roman" w:hAnsi="Times New Roman"/>
          <w:i/>
          <w:iCs/>
          <w:sz w:val="20"/>
          <w:szCs w:val="20"/>
          <w:lang w:val="en-US" w:eastAsia="zh-CN"/>
        </w:rPr>
        <w:t>beam vectors and corresponding gains</w:t>
      </w:r>
      <w:r>
        <w:rPr>
          <w:rFonts w:hint="eastAsia" w:ascii="Times New Roman" w:hAnsi="Times New Roman"/>
          <w:i/>
          <w:iCs/>
          <w:sz w:val="20"/>
          <w:szCs w:val="20"/>
        </w:rPr>
        <w:t xml:space="preserve"> etc.</w:t>
      </w:r>
    </w:p>
    <w:p>
      <w:pPr>
        <w:pStyle w:val="2"/>
        <w:snapToGrid w:val="0"/>
        <w:spacing w:before="180" w:beforeLines="50" w:after="180" w:afterLines="50"/>
        <w:ind w:left="431" w:hanging="431"/>
        <w:rPr>
          <w:sz w:val="28"/>
          <w:lang w:val="en-US"/>
        </w:rPr>
      </w:pPr>
      <w:r>
        <w:rPr>
          <w:rFonts w:hint="eastAsia"/>
          <w:sz w:val="28"/>
          <w:lang w:val="en-US"/>
        </w:rPr>
        <w:t>Conclusions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this contribution, we discuss some existing problems and potential enhancements on UL-AoA positioning solutions. The following observations and proposals are proposed,</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1:</w:t>
      </w:r>
      <w:r>
        <w:rPr>
          <w:rFonts w:hint="eastAsia" w:ascii="Times New Roman" w:hAnsi="Times New Roman"/>
          <w:i/>
          <w:iCs/>
          <w:sz w:val="20"/>
          <w:szCs w:val="20"/>
        </w:rPr>
        <w:t xml:space="preserve"> Based on the design of Rel-16 NR positioning, the uplink Angle of Arrival measurement only includes a</w:t>
      </w:r>
      <w:r>
        <w:rPr>
          <w:rFonts w:ascii="Times New Roman" w:hAnsi="Times New Roman"/>
          <w:i/>
          <w:iCs/>
          <w:sz w:val="20"/>
          <w:szCs w:val="20"/>
        </w:rPr>
        <w:t>n</w:t>
      </w:r>
      <w:r>
        <w:rPr>
          <w:rFonts w:hint="eastAsia" w:ascii="Times New Roman" w:hAnsi="Times New Roman"/>
          <w:i/>
          <w:iCs/>
          <w:sz w:val="20"/>
          <w:szCs w:val="20"/>
        </w:rPr>
        <w:t xml:space="preserve"> azimuth angle and optionally a zenith angle for a TRP or a serving cell.</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2:</w:t>
      </w:r>
      <w:r>
        <w:rPr>
          <w:rFonts w:hint="eastAsia" w:ascii="Times New Roman" w:hAnsi="Times New Roman"/>
          <w:i/>
          <w:iCs/>
          <w:sz w:val="20"/>
          <w:szCs w:val="20"/>
        </w:rPr>
        <w:t xml:space="preserve"> Regarding the characteristics of antenna pattern for ULA antenna arrays,</w:t>
      </w:r>
    </w:p>
    <w:p>
      <w:pPr>
        <w:numPr>
          <w:ilvl w:val="0"/>
          <w:numId w:val="4"/>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With the increase of antenna number, the beam width of main lobe is narrowed.</w:t>
      </w:r>
    </w:p>
    <w:p>
      <w:pPr>
        <w:numPr>
          <w:ilvl w:val="0"/>
          <w:numId w:val="4"/>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With the increase of antenna spacing, the beam width main lobe is narrowed, but the number of side lobes is increased.</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In order to improve positioning accuracy</w:t>
      </w:r>
      <w:r>
        <w:rPr>
          <w:rFonts w:hint="eastAsia" w:ascii="Times New Roman" w:hAnsi="Times New Roman"/>
          <w:i/>
          <w:iCs/>
          <w:sz w:val="20"/>
          <w:szCs w:val="20"/>
          <w:lang w:val="en-US" w:eastAsia="zh-CN"/>
        </w:rPr>
        <w:t xml:space="preserve"> based on</w:t>
      </w:r>
      <w:r>
        <w:rPr>
          <w:rFonts w:hint="eastAsia" w:ascii="Times New Roman" w:hAnsi="Times New Roman"/>
          <w:i/>
          <w:iCs/>
          <w:sz w:val="20"/>
          <w:szCs w:val="20"/>
        </w:rPr>
        <w:t xml:space="preserve"> UL AOA</w:t>
      </w:r>
      <w:r>
        <w:rPr>
          <w:rFonts w:hint="eastAsia" w:ascii="Times New Roman" w:hAnsi="Times New Roman"/>
          <w:i/>
          <w:iCs/>
          <w:sz w:val="20"/>
          <w:szCs w:val="20"/>
          <w:lang w:val="en-US" w:eastAsia="zh-CN"/>
        </w:rPr>
        <w:t xml:space="preserve"> measurements</w:t>
      </w:r>
      <w:r>
        <w:rPr>
          <w:rFonts w:hint="eastAsia" w:ascii="Times New Roman" w:hAnsi="Times New Roman"/>
          <w:i/>
          <w:iCs/>
          <w:sz w:val="20"/>
          <w:szCs w:val="20"/>
        </w:rPr>
        <w:t xml:space="preserve">, some additional </w:t>
      </w:r>
      <w:r>
        <w:rPr>
          <w:rFonts w:hint="eastAsia" w:ascii="Times New Roman" w:hAnsi="Times New Roman"/>
          <w:i/>
          <w:iCs/>
          <w:sz w:val="20"/>
          <w:szCs w:val="20"/>
          <w:lang w:val="en-US" w:eastAsia="zh-CN"/>
        </w:rPr>
        <w:t xml:space="preserve">beam information </w:t>
      </w:r>
      <w:r>
        <w:rPr>
          <w:rFonts w:hint="eastAsia" w:ascii="Times New Roman" w:hAnsi="Times New Roman"/>
          <w:i/>
          <w:iCs/>
          <w:sz w:val="20"/>
          <w:szCs w:val="20"/>
        </w:rPr>
        <w:t>should be provided to LMF, e.g.</w:t>
      </w:r>
      <w:r>
        <w:rPr>
          <w:rFonts w:hint="eastAsia" w:ascii="Times New Roman" w:hAnsi="Times New Roman"/>
          <w:i/>
          <w:iCs/>
          <w:sz w:val="20"/>
          <w:szCs w:val="20"/>
          <w:lang w:val="en-US" w:eastAsia="zh-CN"/>
        </w:rPr>
        <w:t xml:space="preserve"> antenna layout, beam width</w:t>
      </w:r>
      <w:r>
        <w:rPr>
          <w:rFonts w:hint="eastAsia" w:ascii="Times New Roman" w:hAnsi="Times New Roman"/>
          <w:i/>
          <w:iCs/>
          <w:sz w:val="20"/>
          <w:szCs w:val="20"/>
        </w:rPr>
        <w:t xml:space="preserve">, </w:t>
      </w:r>
      <w:r>
        <w:rPr>
          <w:rFonts w:hint="eastAsia" w:ascii="Times New Roman" w:hAnsi="Times New Roman"/>
          <w:i/>
          <w:iCs/>
          <w:sz w:val="20"/>
          <w:szCs w:val="20"/>
          <w:lang w:val="en-US" w:eastAsia="zh-CN"/>
        </w:rPr>
        <w:t>beam vectors and corresponding gains</w:t>
      </w:r>
      <w:r>
        <w:rPr>
          <w:rFonts w:hint="eastAsia" w:ascii="Times New Roman" w:hAnsi="Times New Roman"/>
          <w:i/>
          <w:iCs/>
          <w:sz w:val="20"/>
          <w:szCs w:val="20"/>
        </w:rPr>
        <w:t xml:space="preserve"> etc.</w:t>
      </w:r>
    </w:p>
    <w:p>
      <w:pPr>
        <w:pStyle w:val="2"/>
        <w:numPr>
          <w:ilvl w:val="0"/>
          <w:numId w:val="0"/>
        </w:numPr>
        <w:rPr>
          <w:lang w:val="en-US"/>
        </w:rPr>
      </w:pPr>
      <w:r>
        <w:rPr>
          <w:rFonts w:hint="eastAsia"/>
          <w:lang w:val="en-US"/>
        </w:rPr>
        <w:t>References</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3GPP TR 38.857 V0.4.0 (2020-11) Study on NR Positioning Enhancements;(Release 17)</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RP-202900, New WID on NR Positioning Enhancements, CATT, Intel Corporation, Ericsson</w:t>
      </w:r>
    </w:p>
    <w:p>
      <w:pPr>
        <w:numPr>
          <w:ilvl w:val="0"/>
          <w:numId w:val="6"/>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3GPP TS 38.455 V16.2.0 (2020-12) NR Positioning Protocol A (NRPPa) (Release 16)</w:t>
      </w:r>
    </w:p>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7B0A71"/>
    <w:multiLevelType w:val="singleLevel"/>
    <w:tmpl w:val="9A7B0A71"/>
    <w:lvl w:ilvl="0" w:tentative="0">
      <w:start w:val="1"/>
      <w:numFmt w:val="bullet"/>
      <w:lvlText w:val="-"/>
      <w:lvlJc w:val="left"/>
      <w:pPr>
        <w:ind w:left="420" w:hanging="420"/>
      </w:pPr>
      <w:rPr>
        <w:rFonts w:hint="default" w:ascii="BatangChe" w:hAnsi="BatangChe" w:eastAsia="BatangChe" w:cs="BatangChe"/>
      </w:rPr>
    </w:lvl>
  </w:abstractNum>
  <w:abstractNum w:abstractNumId="1">
    <w:nsid w:val="EA8117F4"/>
    <w:multiLevelType w:val="singleLevel"/>
    <w:tmpl w:val="EA8117F4"/>
    <w:lvl w:ilvl="0" w:tentative="0">
      <w:start w:val="1"/>
      <w:numFmt w:val="decimal"/>
      <w:suff w:val="space"/>
      <w:lvlText w:val="[%1]"/>
      <w:lvlJc w:val="left"/>
    </w:lvl>
  </w:abstractNum>
  <w:abstractNum w:abstractNumId="2">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1054A19"/>
    <w:multiLevelType w:val="singleLevel"/>
    <w:tmpl w:val="11054A19"/>
    <w:lvl w:ilvl="0" w:tentative="0">
      <w:start w:val="3"/>
      <w:numFmt w:val="decimal"/>
      <w:suff w:val="space"/>
      <w:lvlText w:val="[%1]"/>
      <w:lvlJc w:val="left"/>
    </w:lvl>
  </w:abstractNum>
  <w:abstractNum w:abstractNumId="4">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7"/>
    <w:rsid w:val="0001678E"/>
    <w:rsid w:val="0001709F"/>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5BE"/>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B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767"/>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5FB0"/>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F6F"/>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58"/>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A60"/>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3D9"/>
    <w:rsid w:val="003E16A8"/>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52"/>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8AE"/>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AC"/>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A3"/>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BD2"/>
    <w:rsid w:val="00744CC9"/>
    <w:rsid w:val="007451B9"/>
    <w:rsid w:val="007452A0"/>
    <w:rsid w:val="00745402"/>
    <w:rsid w:val="007454D3"/>
    <w:rsid w:val="00745629"/>
    <w:rsid w:val="0074580E"/>
    <w:rsid w:val="00745D85"/>
    <w:rsid w:val="00745FB8"/>
    <w:rsid w:val="0074620F"/>
    <w:rsid w:val="00746448"/>
    <w:rsid w:val="0074656A"/>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5CC"/>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51"/>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8D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6C0"/>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6A4"/>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581"/>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07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8D9"/>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43B"/>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4BA"/>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D6D"/>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6F561CE"/>
    <w:rsid w:val="070906C4"/>
    <w:rsid w:val="07114B7A"/>
    <w:rsid w:val="07186D56"/>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7F71074"/>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1462E4"/>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343CE"/>
    <w:rsid w:val="0C293F71"/>
    <w:rsid w:val="0C426C85"/>
    <w:rsid w:val="0C432D86"/>
    <w:rsid w:val="0C4E63B2"/>
    <w:rsid w:val="0C4F69BD"/>
    <w:rsid w:val="0C573BE9"/>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30034"/>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411A9"/>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CB31CA"/>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C41A2"/>
    <w:rsid w:val="135D0726"/>
    <w:rsid w:val="13667089"/>
    <w:rsid w:val="137F2E1F"/>
    <w:rsid w:val="13834E54"/>
    <w:rsid w:val="138C3BB4"/>
    <w:rsid w:val="138E21E8"/>
    <w:rsid w:val="13A46633"/>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A6EE1"/>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7026A5"/>
    <w:rsid w:val="1C787478"/>
    <w:rsid w:val="1C7A4B33"/>
    <w:rsid w:val="1C87286B"/>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AD564A"/>
    <w:rsid w:val="24B10DC1"/>
    <w:rsid w:val="24B22A0D"/>
    <w:rsid w:val="24B331B5"/>
    <w:rsid w:val="24B356C5"/>
    <w:rsid w:val="24BE00A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A488F"/>
    <w:rsid w:val="297E42BA"/>
    <w:rsid w:val="298201B8"/>
    <w:rsid w:val="299B07C3"/>
    <w:rsid w:val="299B6E36"/>
    <w:rsid w:val="29A57939"/>
    <w:rsid w:val="29A646F0"/>
    <w:rsid w:val="29AB1C0C"/>
    <w:rsid w:val="29AB7532"/>
    <w:rsid w:val="29AC64D3"/>
    <w:rsid w:val="29B508BB"/>
    <w:rsid w:val="29B772EE"/>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045B4"/>
    <w:rsid w:val="33E64517"/>
    <w:rsid w:val="33E70260"/>
    <w:rsid w:val="33EB5F44"/>
    <w:rsid w:val="33EF3DF2"/>
    <w:rsid w:val="33F2456A"/>
    <w:rsid w:val="33FA572B"/>
    <w:rsid w:val="3403379A"/>
    <w:rsid w:val="34071057"/>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A442D"/>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60FD6"/>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769F6"/>
    <w:rsid w:val="41803DA8"/>
    <w:rsid w:val="418631C6"/>
    <w:rsid w:val="41872ED0"/>
    <w:rsid w:val="41953FEF"/>
    <w:rsid w:val="41974E8B"/>
    <w:rsid w:val="419B48BA"/>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A1B38"/>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773F7"/>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532B01"/>
    <w:rsid w:val="46584184"/>
    <w:rsid w:val="46630636"/>
    <w:rsid w:val="4664264C"/>
    <w:rsid w:val="46687376"/>
    <w:rsid w:val="46696D7B"/>
    <w:rsid w:val="4670211B"/>
    <w:rsid w:val="46836D01"/>
    <w:rsid w:val="468431CC"/>
    <w:rsid w:val="46846139"/>
    <w:rsid w:val="468706E8"/>
    <w:rsid w:val="46934B28"/>
    <w:rsid w:val="4696394A"/>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812E9"/>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8D014A"/>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440A1"/>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2507D1"/>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74072"/>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55BAE"/>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57598"/>
    <w:rsid w:val="579677D0"/>
    <w:rsid w:val="57984454"/>
    <w:rsid w:val="579C47BB"/>
    <w:rsid w:val="579D6CE4"/>
    <w:rsid w:val="579F608F"/>
    <w:rsid w:val="57A07629"/>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2845BC"/>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740E1"/>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56DC6"/>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74E15"/>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063B"/>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B2C7C"/>
    <w:rsid w:val="6AAD12D9"/>
    <w:rsid w:val="6AB602C2"/>
    <w:rsid w:val="6AB63510"/>
    <w:rsid w:val="6AB943EE"/>
    <w:rsid w:val="6ABA42F5"/>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394C88"/>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75AC9"/>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96846"/>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8579E"/>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50FF"/>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BF5435"/>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D0DF2"/>
    <w:rsid w:val="7A8D168B"/>
    <w:rsid w:val="7A8D4686"/>
    <w:rsid w:val="7A934A3F"/>
    <w:rsid w:val="7A986E23"/>
    <w:rsid w:val="7A9A0AFB"/>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9F5ED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4D370D"/>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B05FB6-505E-4058-91D5-7013FE0F475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785</Words>
  <Characters>4478</Characters>
  <Lines>37</Lines>
  <Paragraphs>10</Paragraphs>
  <TotalTime>0</TotalTime>
  <ScaleCrop>false</ScaleCrop>
  <LinksUpToDate>false</LinksUpToDate>
  <CharactersWithSpaces>5253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 ZTE </cp:lastModifiedBy>
  <dcterms:modified xsi:type="dcterms:W3CDTF">2021-01-17T05:51:00Z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